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513A4329" w:rsidR="006D540D" w:rsidRPr="00C8192D" w:rsidRDefault="00171AE7" w:rsidP="004E5B3B">
            <w:pPr>
              <w:spacing w:line="240" w:lineRule="auto"/>
              <w:rPr>
                <w:rFonts w:ascii="Arial" w:hAnsi="Arial" w:cs="Arial"/>
                <w:b/>
                <w:szCs w:val="28"/>
              </w:rPr>
            </w:pPr>
            <w:r w:rsidRPr="006D540D">
              <w:rPr>
                <w:rFonts w:ascii="Arial" w:hAnsi="Arial" w:cs="Arial"/>
                <w:b/>
                <w:bCs/>
                <w:szCs w:val="28"/>
                <w:lang w:val="en-GB"/>
              </w:rPr>
              <w:t>Poly(diglycerol adipate) variants as enhanced nanocarrier replacements in drug delivery systems</w:t>
            </w:r>
          </w:p>
        </w:tc>
      </w:tr>
      <w:tr w:rsidR="00467207" w:rsidRPr="005A09F5" w14:paraId="1D5D4D13" w14:textId="77777777" w:rsidTr="006D540D">
        <w:trPr>
          <w:trHeight w:val="483"/>
        </w:trPr>
        <w:tc>
          <w:tcPr>
            <w:tcW w:w="9576" w:type="dxa"/>
          </w:tcPr>
          <w:p w14:paraId="02AF625D" w14:textId="69CCCAC1" w:rsidR="00972FB0" w:rsidRPr="006D540D" w:rsidRDefault="006D540D" w:rsidP="004E5B3B">
            <w:pPr>
              <w:spacing w:line="240" w:lineRule="auto"/>
              <w:rPr>
                <w:rFonts w:ascii="Arial" w:hAnsi="Arial"/>
                <w:vertAlign w:val="superscript"/>
                <w:lang w:val="en-GB"/>
              </w:rPr>
            </w:pPr>
            <w:r>
              <w:rPr>
                <w:rFonts w:ascii="Arial" w:hAnsi="Arial"/>
                <w:u w:val="single"/>
              </w:rPr>
              <w:t>Philippa</w:t>
            </w:r>
            <w:r w:rsidR="001958BA">
              <w:rPr>
                <w:rFonts w:ascii="Arial" w:hAnsi="Arial"/>
                <w:u w:val="single"/>
              </w:rPr>
              <w:t xml:space="preserve"> L.</w:t>
            </w:r>
            <w:r>
              <w:rPr>
                <w:rFonts w:ascii="Arial" w:hAnsi="Arial"/>
                <w:u w:val="single"/>
              </w:rPr>
              <w:t xml:space="preserve"> Jacob</w:t>
            </w:r>
            <w:r w:rsidRPr="006D540D">
              <w:rPr>
                <w:rFonts w:ascii="Arial" w:hAnsi="Arial"/>
                <w:vertAlign w:val="superscript"/>
              </w:rPr>
              <w:t>1</w:t>
            </w:r>
            <w:r>
              <w:rPr>
                <w:rFonts w:ascii="Arial" w:hAnsi="Arial"/>
              </w:rPr>
              <w:t>, Benedetta Brugnoli</w:t>
            </w:r>
            <w:r>
              <w:rPr>
                <w:rFonts w:ascii="Arial" w:hAnsi="Arial"/>
                <w:vertAlign w:val="superscript"/>
              </w:rPr>
              <w:t>2</w:t>
            </w:r>
            <w:r>
              <w:rPr>
                <w:rFonts w:ascii="Arial" w:hAnsi="Arial"/>
              </w:rPr>
              <w:t>, Veeren</w:t>
            </w:r>
            <w:r w:rsidR="001958BA">
              <w:rPr>
                <w:rFonts w:ascii="Arial" w:hAnsi="Arial"/>
              </w:rPr>
              <w:t xml:space="preserve"> M.</w:t>
            </w:r>
            <w:r>
              <w:rPr>
                <w:rFonts w:ascii="Arial" w:hAnsi="Arial"/>
              </w:rPr>
              <w:t xml:space="preserve"> Chauhan</w:t>
            </w:r>
            <w:r>
              <w:rPr>
                <w:rFonts w:ascii="Arial" w:hAnsi="Arial"/>
                <w:vertAlign w:val="superscript"/>
              </w:rPr>
              <w:t>3</w:t>
            </w:r>
            <w:r>
              <w:rPr>
                <w:rFonts w:ascii="Arial" w:hAnsi="Arial"/>
              </w:rPr>
              <w:t xml:space="preserve">, </w:t>
            </w:r>
            <w:r w:rsidRPr="006D540D">
              <w:rPr>
                <w:rFonts w:ascii="Arial" w:hAnsi="Arial"/>
                <w:lang w:val="en-GB"/>
              </w:rPr>
              <w:t>Laura Beckett</w:t>
            </w:r>
            <w:r>
              <w:rPr>
                <w:rFonts w:ascii="Arial" w:hAnsi="Arial"/>
                <w:vertAlign w:val="superscript"/>
                <w:lang w:val="en-GB"/>
              </w:rPr>
              <w:t>3</w:t>
            </w:r>
            <w:r w:rsidRPr="006D540D">
              <w:rPr>
                <w:rFonts w:ascii="Arial" w:hAnsi="Arial"/>
                <w:lang w:val="en-GB"/>
              </w:rPr>
              <w:t>, Cara Moloney</w:t>
            </w:r>
            <w:r>
              <w:rPr>
                <w:rFonts w:ascii="Arial" w:hAnsi="Arial"/>
                <w:vertAlign w:val="superscript"/>
                <w:lang w:val="en-GB"/>
              </w:rPr>
              <w:t>4</w:t>
            </w:r>
            <w:r w:rsidRPr="006D540D">
              <w:rPr>
                <w:rFonts w:ascii="Arial" w:hAnsi="Arial"/>
                <w:lang w:val="en-GB"/>
              </w:rPr>
              <w:t>, Robert J. Cavanagh</w:t>
            </w:r>
            <w:r>
              <w:rPr>
                <w:rFonts w:ascii="Arial" w:hAnsi="Arial"/>
                <w:vertAlign w:val="superscript"/>
                <w:lang w:val="en-GB"/>
              </w:rPr>
              <w:t>4</w:t>
            </w:r>
            <w:r w:rsidRPr="006D540D">
              <w:rPr>
                <w:rFonts w:ascii="Arial" w:hAnsi="Arial"/>
                <w:lang w:val="en-GB"/>
              </w:rPr>
              <w:t>,</w:t>
            </w:r>
            <w:r>
              <w:rPr>
                <w:rFonts w:ascii="Arial" w:hAnsi="Arial"/>
                <w:lang w:val="en-GB"/>
              </w:rPr>
              <w:t xml:space="preserve"> </w:t>
            </w:r>
            <w:r w:rsidRPr="006D540D">
              <w:rPr>
                <w:rFonts w:ascii="Arial" w:hAnsi="Arial"/>
                <w:lang w:val="en-GB"/>
              </w:rPr>
              <w:t>Iolanda Francolini</w:t>
            </w:r>
            <w:r>
              <w:rPr>
                <w:rFonts w:ascii="Arial" w:hAnsi="Arial"/>
                <w:vertAlign w:val="superscript"/>
                <w:lang w:val="en-GB"/>
              </w:rPr>
              <w:t>2</w:t>
            </w:r>
            <w:r w:rsidRPr="006D540D">
              <w:rPr>
                <w:rFonts w:ascii="Arial" w:hAnsi="Arial"/>
                <w:lang w:val="en-GB"/>
              </w:rPr>
              <w:t>, Steven M. Howdle</w:t>
            </w:r>
            <w:r>
              <w:rPr>
                <w:rFonts w:ascii="Arial" w:hAnsi="Arial"/>
                <w:vertAlign w:val="superscript"/>
                <w:lang w:val="en-GB"/>
              </w:rPr>
              <w:t>1</w:t>
            </w:r>
            <w:r w:rsidRPr="006D540D">
              <w:rPr>
                <w:rFonts w:ascii="Arial" w:hAnsi="Arial"/>
                <w:lang w:val="en-GB"/>
              </w:rPr>
              <w:t xml:space="preserve"> and Vincenzo Taresco</w:t>
            </w:r>
            <w:r>
              <w:rPr>
                <w:rFonts w:ascii="Arial" w:hAnsi="Arial"/>
                <w:vertAlign w:val="superscript"/>
                <w:lang w:val="en-GB"/>
              </w:rPr>
              <w:t>1</w:t>
            </w:r>
          </w:p>
        </w:tc>
      </w:tr>
      <w:tr w:rsidR="00467207" w:rsidRPr="005A09F5" w14:paraId="63FBC6B0" w14:textId="77777777" w:rsidTr="00032119">
        <w:tc>
          <w:tcPr>
            <w:tcW w:w="9576" w:type="dxa"/>
          </w:tcPr>
          <w:p w14:paraId="1E6D58FE" w14:textId="0BCCC0EE" w:rsidR="006D540D" w:rsidRPr="006D540D" w:rsidRDefault="006D540D" w:rsidP="004E5B3B">
            <w:pPr>
              <w:spacing w:line="240" w:lineRule="auto"/>
              <w:rPr>
                <w:rFonts w:ascii="Arial" w:hAnsi="Arial" w:cs="Arial"/>
              </w:rPr>
            </w:pPr>
            <w:r w:rsidRPr="006D540D">
              <w:rPr>
                <w:rFonts w:ascii="Arial" w:eastAsia="Times New Roman" w:hAnsi="Arial" w:cs="Arial"/>
                <w:color w:val="000000"/>
                <w:vertAlign w:val="superscript"/>
                <w:lang w:val="en-GB" w:eastAsia="en-GB"/>
              </w:rPr>
              <w:t>1</w:t>
            </w:r>
            <w:r w:rsidRPr="006D540D">
              <w:rPr>
                <w:rFonts w:ascii="Arial" w:hAnsi="Arial" w:cs="Arial"/>
              </w:rPr>
              <w:t xml:space="preserve"> School of Chemistry, University Park, Nottingham NG7 2RD, UK; </w:t>
            </w:r>
            <w:r w:rsidRPr="006D540D">
              <w:rPr>
                <w:rFonts w:ascii="Arial" w:eastAsia="Times New Roman" w:hAnsi="Arial" w:cs="Arial"/>
                <w:color w:val="000000"/>
                <w:vertAlign w:val="superscript"/>
                <w:lang w:val="en-GB" w:eastAsia="en-GB"/>
              </w:rPr>
              <w:t>2</w:t>
            </w:r>
            <w:r w:rsidRPr="006D540D">
              <w:rPr>
                <w:rFonts w:ascii="Arial" w:hAnsi="Arial" w:cs="Arial"/>
              </w:rPr>
              <w:t xml:space="preserve"> Dept. of Chemistry, Sapienza University of Rome, Piazzale A. Moro 5, 00185 Rome, Italy; </w:t>
            </w:r>
            <w:r w:rsidRPr="006D540D">
              <w:rPr>
                <w:rFonts w:ascii="Arial" w:hAnsi="Arial" w:cs="Arial"/>
                <w:vertAlign w:val="superscript"/>
              </w:rPr>
              <w:t>3</w:t>
            </w:r>
            <w:r w:rsidRPr="006D540D">
              <w:rPr>
                <w:rFonts w:ascii="Arial" w:hAnsi="Arial" w:cs="Arial"/>
              </w:rPr>
              <w:t xml:space="preserve"> Laboratory of Biophysics and Surface Analysis, School of Pharmacy, University of Nottingham, Boots Sciences Building, University Park, Nottingham, NG7 2RD, UK; </w:t>
            </w:r>
            <w:r w:rsidRPr="006D540D">
              <w:rPr>
                <w:rFonts w:ascii="Arial" w:hAnsi="Arial" w:cs="Arial"/>
                <w:vertAlign w:val="superscript"/>
              </w:rPr>
              <w:t>4</w:t>
            </w:r>
            <w:r w:rsidRPr="006D540D">
              <w:rPr>
                <w:rFonts w:ascii="Arial" w:hAnsi="Arial" w:cs="Arial"/>
              </w:rPr>
              <w:t xml:space="preserve"> School of Medicine, BioDiscovery Institute-3, University Park, Nottingham, NG7 2RD, UK</w:t>
            </w:r>
            <w:r>
              <w:rPr>
                <w:rFonts w:ascii="Arial" w:hAnsi="Arial" w:cs="Arial"/>
              </w:rPr>
              <w:t>.</w:t>
            </w:r>
          </w:p>
        </w:tc>
      </w:tr>
      <w:tr w:rsidR="00467207" w:rsidRPr="005A09F5" w14:paraId="68801AA9" w14:textId="77777777" w:rsidTr="00032119">
        <w:tc>
          <w:tcPr>
            <w:tcW w:w="9576" w:type="dxa"/>
          </w:tcPr>
          <w:p w14:paraId="4D02338A" w14:textId="720A074B" w:rsidR="00EA519D" w:rsidRPr="001C61CA" w:rsidRDefault="00467207" w:rsidP="004E5B3B">
            <w:pPr>
              <w:spacing w:line="240" w:lineRule="auto"/>
              <w:jc w:val="both"/>
              <w:rPr>
                <w:rFonts w:ascii="Arial" w:hAnsi="Arial"/>
              </w:rPr>
            </w:pPr>
            <w:r w:rsidRPr="00C8192D">
              <w:rPr>
                <w:rFonts w:ascii="Arial" w:hAnsi="Arial"/>
                <w:b/>
              </w:rPr>
              <w:t>Background:</w:t>
            </w:r>
            <w:r w:rsidR="005162DB">
              <w:rPr>
                <w:rFonts w:ascii="Arial" w:hAnsi="Arial"/>
              </w:rPr>
              <w:t xml:space="preserve"> </w:t>
            </w:r>
            <w:r w:rsidR="00171AE7" w:rsidRPr="00171AE7">
              <w:rPr>
                <w:rFonts w:ascii="Arial" w:hAnsi="Arial"/>
              </w:rPr>
              <w:t xml:space="preserve">Sustainably derived poly(glycerol adipate) (PGA) </w:t>
            </w:r>
            <w:r w:rsidR="00171AE7">
              <w:rPr>
                <w:rFonts w:ascii="Arial" w:hAnsi="Arial"/>
              </w:rPr>
              <w:t xml:space="preserve">is considered </w:t>
            </w:r>
            <w:r w:rsidR="00171AE7" w:rsidRPr="00171AE7">
              <w:rPr>
                <w:rFonts w:ascii="Arial" w:hAnsi="Arial"/>
              </w:rPr>
              <w:t>to deliver all the desirable features expected in a polymeric scaffold for drug-delivery</w:t>
            </w:r>
            <w:r w:rsidR="00171AE7">
              <w:rPr>
                <w:rFonts w:ascii="Arial" w:hAnsi="Arial"/>
              </w:rPr>
              <w:t>. It is</w:t>
            </w:r>
            <w:r w:rsidR="00171AE7" w:rsidRPr="00171AE7">
              <w:rPr>
                <w:rFonts w:ascii="Arial" w:hAnsi="Arial"/>
              </w:rPr>
              <w:t xml:space="preserve"> biodegradab</w:t>
            </w:r>
            <w:r w:rsidR="00171AE7">
              <w:rPr>
                <w:rFonts w:ascii="Arial" w:hAnsi="Arial"/>
              </w:rPr>
              <w:t>le</w:t>
            </w:r>
            <w:r w:rsidR="00171AE7" w:rsidRPr="00171AE7">
              <w:rPr>
                <w:rFonts w:ascii="Arial" w:hAnsi="Arial"/>
              </w:rPr>
              <w:t>, biocompatib</w:t>
            </w:r>
            <w:r w:rsidR="00171AE7">
              <w:rPr>
                <w:rFonts w:ascii="Arial" w:hAnsi="Arial"/>
              </w:rPr>
              <w:t>le</w:t>
            </w:r>
            <w:r w:rsidR="00171AE7" w:rsidRPr="00171AE7">
              <w:rPr>
                <w:rFonts w:ascii="Arial" w:hAnsi="Arial"/>
              </w:rPr>
              <w:t xml:space="preserve">, </w:t>
            </w:r>
            <w:r w:rsidR="00171AE7">
              <w:rPr>
                <w:rFonts w:ascii="Arial" w:hAnsi="Arial"/>
              </w:rPr>
              <w:t xml:space="preserve">capable of </w:t>
            </w:r>
            <w:r w:rsidR="00171AE7" w:rsidRPr="00171AE7">
              <w:rPr>
                <w:rFonts w:ascii="Arial" w:hAnsi="Arial"/>
              </w:rPr>
              <w:t xml:space="preserve">self-assembly into nanoparticles (NPs) and </w:t>
            </w:r>
            <w:r w:rsidR="00171AE7">
              <w:rPr>
                <w:rFonts w:ascii="Arial" w:hAnsi="Arial"/>
              </w:rPr>
              <w:t xml:space="preserve">has </w:t>
            </w:r>
            <w:r w:rsidR="00171AE7" w:rsidRPr="00171AE7">
              <w:rPr>
                <w:rFonts w:ascii="Arial" w:hAnsi="Arial"/>
              </w:rPr>
              <w:t xml:space="preserve">a functionalisable pendant group. Despite </w:t>
            </w:r>
            <w:r w:rsidR="00171AE7">
              <w:rPr>
                <w:rFonts w:ascii="Arial" w:hAnsi="Arial"/>
              </w:rPr>
              <w:t>exhibiting</w:t>
            </w:r>
            <w:r w:rsidR="00171AE7" w:rsidRPr="00171AE7">
              <w:rPr>
                <w:rFonts w:ascii="Arial" w:hAnsi="Arial"/>
              </w:rPr>
              <w:t xml:space="preserve"> these advantages over commercial alkyl polyesters, PGA suffers from a series of key drawbacks caused by poor amphiphilic balance. This leads to weak drug-polymer interactions</w:t>
            </w:r>
            <w:r w:rsidR="006403E7">
              <w:rPr>
                <w:rFonts w:ascii="Arial" w:hAnsi="Arial"/>
              </w:rPr>
              <w:t xml:space="preserve">, </w:t>
            </w:r>
            <w:r w:rsidR="00171AE7" w:rsidRPr="00171AE7">
              <w:rPr>
                <w:rFonts w:ascii="Arial" w:hAnsi="Arial"/>
              </w:rPr>
              <w:t>low drug-loading in NPs</w:t>
            </w:r>
            <w:r w:rsidR="006403E7">
              <w:rPr>
                <w:rFonts w:ascii="Arial" w:hAnsi="Arial"/>
              </w:rPr>
              <w:t xml:space="preserve"> and</w:t>
            </w:r>
            <w:r w:rsidR="00171AE7" w:rsidRPr="00171AE7">
              <w:rPr>
                <w:rFonts w:ascii="Arial" w:hAnsi="Arial"/>
              </w:rPr>
              <w:t xml:space="preserve"> NPs stability. To overcome this, in the present work, we</w:t>
            </w:r>
            <w:r w:rsidR="00171AE7">
              <w:rPr>
                <w:rFonts w:ascii="Arial" w:hAnsi="Arial"/>
              </w:rPr>
              <w:t xml:space="preserve"> have</w:t>
            </w:r>
            <w:r w:rsidR="00171AE7" w:rsidRPr="00171AE7">
              <w:rPr>
                <w:rFonts w:ascii="Arial" w:hAnsi="Arial"/>
              </w:rPr>
              <w:t xml:space="preserve"> applied a significant variation of the polyester backbone while maintaining mild and sustainable </w:t>
            </w:r>
            <w:r w:rsidR="00BA39E3" w:rsidRPr="00171AE7">
              <w:rPr>
                <w:rFonts w:ascii="Arial" w:hAnsi="Arial"/>
              </w:rPr>
              <w:t>polymeri</w:t>
            </w:r>
            <w:r w:rsidR="00BA39E3">
              <w:rPr>
                <w:rFonts w:ascii="Arial" w:hAnsi="Arial"/>
              </w:rPr>
              <w:t>s</w:t>
            </w:r>
            <w:r w:rsidR="00BA39E3" w:rsidRPr="00171AE7">
              <w:rPr>
                <w:rFonts w:ascii="Arial" w:hAnsi="Arial"/>
              </w:rPr>
              <w:t>ation</w:t>
            </w:r>
            <w:r w:rsidR="00171AE7" w:rsidRPr="00171AE7">
              <w:rPr>
                <w:rFonts w:ascii="Arial" w:hAnsi="Arial"/>
              </w:rPr>
              <w:t xml:space="preserve"> conditions.</w:t>
            </w:r>
            <w:r w:rsidR="001C61CA">
              <w:rPr>
                <w:rFonts w:ascii="Arial" w:hAnsi="Arial"/>
              </w:rPr>
              <w:t xml:space="preserve"> </w:t>
            </w:r>
          </w:p>
        </w:tc>
      </w:tr>
      <w:tr w:rsidR="00467207" w:rsidRPr="005A09F5" w14:paraId="291DAA53" w14:textId="77777777" w:rsidTr="00032119">
        <w:tc>
          <w:tcPr>
            <w:tcW w:w="9576" w:type="dxa"/>
          </w:tcPr>
          <w:p w14:paraId="158BA3F5" w14:textId="0C3EB890" w:rsidR="00EA519D" w:rsidRPr="00EA519D" w:rsidRDefault="00467207" w:rsidP="004E5B3B">
            <w:pPr>
              <w:spacing w:line="240" w:lineRule="auto"/>
              <w:jc w:val="both"/>
              <w:rPr>
                <w:rFonts w:ascii="Arial" w:hAnsi="Arial"/>
                <w:szCs w:val="20"/>
              </w:rPr>
            </w:pPr>
            <w:r w:rsidRPr="00C8192D">
              <w:rPr>
                <w:rFonts w:ascii="Arial" w:hAnsi="Arial"/>
                <w:b/>
              </w:rPr>
              <w:t>Methods:</w:t>
            </w:r>
            <w:r w:rsidRPr="00C8192D">
              <w:rPr>
                <w:rFonts w:ascii="Arial" w:hAnsi="Arial"/>
              </w:rPr>
              <w:t xml:space="preserve"> </w:t>
            </w:r>
            <w:r w:rsidR="006D540D" w:rsidRPr="006D540D">
              <w:rPr>
                <w:rFonts w:ascii="Arial" w:hAnsi="Arial"/>
                <w:lang w:val="en-GB"/>
              </w:rPr>
              <w:t xml:space="preserve">PGA and variants thereof have been characterised using </w:t>
            </w:r>
            <w:r w:rsidR="006D540D" w:rsidRPr="006D540D">
              <w:rPr>
                <w:rFonts w:ascii="Arial" w:hAnsi="Arial"/>
                <w:vertAlign w:val="superscript"/>
                <w:lang w:val="en-GB"/>
              </w:rPr>
              <w:t>1</w:t>
            </w:r>
            <w:r w:rsidR="006D540D" w:rsidRPr="006D540D">
              <w:rPr>
                <w:rFonts w:ascii="Arial" w:hAnsi="Arial"/>
                <w:lang w:val="en-GB"/>
              </w:rPr>
              <w:t>H NMR</w:t>
            </w:r>
            <w:r w:rsidR="006403E7">
              <w:rPr>
                <w:rFonts w:ascii="Arial" w:hAnsi="Arial"/>
                <w:lang w:val="en-GB"/>
              </w:rPr>
              <w:t xml:space="preserve"> spectroscopy</w:t>
            </w:r>
            <w:r w:rsidR="006D540D" w:rsidRPr="006D540D">
              <w:rPr>
                <w:rFonts w:ascii="Arial" w:hAnsi="Arial"/>
                <w:lang w:val="en-GB"/>
              </w:rPr>
              <w:t xml:space="preserve">, GPC, DSC and water contact angle measurements. Nanoparticles were synthesised by nanoprecipitation and were characterised by </w:t>
            </w:r>
            <w:r w:rsidR="006D540D">
              <w:rPr>
                <w:rFonts w:ascii="Arial" w:hAnsi="Arial"/>
                <w:lang w:val="en-GB"/>
              </w:rPr>
              <w:t>DLS</w:t>
            </w:r>
            <w:r w:rsidR="006403E7">
              <w:rPr>
                <w:rFonts w:ascii="Arial" w:hAnsi="Arial"/>
                <w:lang w:val="en-GB"/>
              </w:rPr>
              <w:t xml:space="preserve"> </w:t>
            </w:r>
            <w:r w:rsidR="006D540D">
              <w:rPr>
                <w:rFonts w:ascii="Arial" w:hAnsi="Arial"/>
                <w:lang w:val="en-GB"/>
              </w:rPr>
              <w:t>and zeta-potential measurements</w:t>
            </w:r>
            <w:r w:rsidR="006D540D" w:rsidRPr="006D540D">
              <w:rPr>
                <w:rFonts w:ascii="Arial" w:hAnsi="Arial"/>
                <w:lang w:val="en-GB"/>
              </w:rPr>
              <w:t>. Nanoencapsulation of coumarin</w:t>
            </w:r>
            <w:r w:rsidR="006D540D">
              <w:rPr>
                <w:rFonts w:ascii="Arial" w:hAnsi="Arial"/>
                <w:lang w:val="en-GB"/>
              </w:rPr>
              <w:t>s</w:t>
            </w:r>
            <w:r w:rsidR="006D540D" w:rsidRPr="006D540D">
              <w:rPr>
                <w:rFonts w:ascii="Arial" w:hAnsi="Arial"/>
                <w:lang w:val="en-GB"/>
              </w:rPr>
              <w:t xml:space="preserve"> was determined by measuring ΔA% using UV-vis spectrometry. Polymers were tested for </w:t>
            </w:r>
            <w:r w:rsidR="00AB261D">
              <w:rPr>
                <w:rFonts w:ascii="Arial" w:hAnsi="Arial"/>
                <w:i/>
                <w:iCs/>
                <w:lang w:val="en-GB"/>
              </w:rPr>
              <w:t xml:space="preserve">in vitro </w:t>
            </w:r>
            <w:r w:rsidR="006D540D" w:rsidRPr="006D540D">
              <w:rPr>
                <w:rFonts w:ascii="Arial" w:hAnsi="Arial"/>
                <w:lang w:val="en-GB"/>
              </w:rPr>
              <w:t xml:space="preserve">cytotoxicity using a Presto Blue cell viability assay on </w:t>
            </w:r>
            <w:r w:rsidR="00AB261D">
              <w:rPr>
                <w:rFonts w:ascii="Arial" w:hAnsi="Arial"/>
                <w:lang w:val="en-GB"/>
              </w:rPr>
              <w:t xml:space="preserve">human carcinoma colon epithelial cells. </w:t>
            </w:r>
            <w:r w:rsidR="00AB261D" w:rsidRPr="00AB261D">
              <w:rPr>
                <w:rFonts w:ascii="Arial" w:hAnsi="Arial"/>
                <w:i/>
                <w:iCs/>
                <w:lang w:val="en-GB"/>
              </w:rPr>
              <w:t>In vivo</w:t>
            </w:r>
            <w:r w:rsidR="00AB261D">
              <w:rPr>
                <w:rFonts w:ascii="Arial" w:hAnsi="Arial"/>
                <w:i/>
                <w:iCs/>
                <w:lang w:val="en-GB"/>
              </w:rPr>
              <w:t xml:space="preserve"> </w:t>
            </w:r>
            <w:r w:rsidR="00AB261D">
              <w:rPr>
                <w:rFonts w:ascii="Arial" w:hAnsi="Arial"/>
                <w:lang w:val="en-GB"/>
              </w:rPr>
              <w:t xml:space="preserve">cytotoxicity and uptake were investigated by challenging </w:t>
            </w:r>
            <w:r w:rsidR="00AB261D">
              <w:rPr>
                <w:rFonts w:ascii="Arial" w:hAnsi="Arial"/>
                <w:i/>
                <w:iCs/>
                <w:lang w:val="en-GB"/>
              </w:rPr>
              <w:t>C. elegans</w:t>
            </w:r>
            <w:r w:rsidR="00AB261D">
              <w:rPr>
                <w:rFonts w:ascii="Arial" w:hAnsi="Arial"/>
                <w:lang w:val="en-GB"/>
              </w:rPr>
              <w:t xml:space="preserve"> nematodes to polymers.</w:t>
            </w:r>
          </w:p>
        </w:tc>
      </w:tr>
      <w:tr w:rsidR="00467207" w:rsidRPr="005A09F5" w14:paraId="3489F48C" w14:textId="77777777" w:rsidTr="00032119">
        <w:tc>
          <w:tcPr>
            <w:tcW w:w="9576" w:type="dxa"/>
          </w:tcPr>
          <w:p w14:paraId="721BEE18" w14:textId="690FE392" w:rsidR="00EA519D" w:rsidRPr="005016C7" w:rsidRDefault="00467207" w:rsidP="004E5B3B">
            <w:pPr>
              <w:spacing w:line="240" w:lineRule="auto"/>
              <w:jc w:val="both"/>
              <w:rPr>
                <w:rFonts w:ascii="Arial" w:hAnsi="Arial"/>
              </w:rPr>
            </w:pPr>
            <w:r w:rsidRPr="00C8192D">
              <w:rPr>
                <w:rFonts w:ascii="Arial" w:hAnsi="Arial"/>
                <w:b/>
              </w:rPr>
              <w:t>Results:</w:t>
            </w:r>
            <w:r w:rsidR="00197EC0">
              <w:rPr>
                <w:rFonts w:ascii="Arial" w:hAnsi="Arial"/>
              </w:rPr>
              <w:t xml:space="preserve"> </w:t>
            </w:r>
            <w:r w:rsidR="00BA39E3">
              <w:rPr>
                <w:rFonts w:ascii="Arial" w:hAnsi="Arial"/>
              </w:rPr>
              <w:t>PGA,</w:t>
            </w:r>
            <w:r w:rsidR="008B4FF5">
              <w:rPr>
                <w:rFonts w:ascii="Arial" w:hAnsi="Arial"/>
              </w:rPr>
              <w:t xml:space="preserve"> </w:t>
            </w:r>
            <w:r w:rsidR="00BA39E3">
              <w:rPr>
                <w:rFonts w:ascii="Arial" w:hAnsi="Arial"/>
              </w:rPr>
              <w:t>its diglycerol counterparts poly(diglycerol adiapte) (PDGA), and variants of both including a 1:1 ratio of (di)glycerol:1,6-</w:t>
            </w:r>
            <w:r w:rsidR="00BA39E3">
              <w:rPr>
                <w:rFonts w:ascii="Arial" w:hAnsi="Arial"/>
                <w:i/>
                <w:iCs/>
              </w:rPr>
              <w:t>n</w:t>
            </w:r>
            <w:r w:rsidR="00BA39E3">
              <w:rPr>
                <w:rFonts w:ascii="Arial" w:hAnsi="Arial"/>
              </w:rPr>
              <w:t xml:space="preserve">-hexanediol (PGAHex and PDGAHex) were successfully synthesised via a mild enzymatic polymerisation. All polymers self-assembled into NPs of ~150 nm in size and with PGAHex and PDGAHex demonstrating excellent stability in bovine serum albumin up to 24 h. PDGA NPs had low stability, however the polymer demonstrated improved water solubility. All polymers were tested for their ability to </w:t>
            </w:r>
            <w:r w:rsidR="005016C7">
              <w:rPr>
                <w:rFonts w:ascii="Arial" w:hAnsi="Arial"/>
              </w:rPr>
              <w:t>encode enhanced</w:t>
            </w:r>
            <w:r w:rsidR="00BA39E3">
              <w:rPr>
                <w:rFonts w:ascii="Arial" w:hAnsi="Arial"/>
              </w:rPr>
              <w:t xml:space="preserve"> drug loading with both hydrophobic and more hydrophilic coumarin</w:t>
            </w:r>
            <w:r w:rsidR="005016C7">
              <w:rPr>
                <w:rFonts w:ascii="Arial" w:hAnsi="Arial"/>
              </w:rPr>
              <w:t xml:space="preserve"> </w:t>
            </w:r>
            <w:r w:rsidR="00BA39E3">
              <w:rPr>
                <w:rFonts w:ascii="Arial" w:hAnsi="Arial"/>
              </w:rPr>
              <w:t>compounds. Both classes of coumarin were successfully encapsulated, with the more hydrophobic coumarin</w:t>
            </w:r>
            <w:r w:rsidR="005016C7">
              <w:rPr>
                <w:rFonts w:ascii="Arial" w:hAnsi="Arial"/>
              </w:rPr>
              <w:t xml:space="preserve"> (coumarin-6)</w:t>
            </w:r>
            <w:r w:rsidR="00BA39E3">
              <w:rPr>
                <w:rFonts w:ascii="Arial" w:hAnsi="Arial"/>
              </w:rPr>
              <w:t xml:space="preserve"> displaying significantly enhanced apparent water solubility compared to its unformulated state. Furthermore, all polymers </w:t>
            </w:r>
            <w:r w:rsidR="005016C7">
              <w:rPr>
                <w:rFonts w:ascii="Arial" w:hAnsi="Arial"/>
              </w:rPr>
              <w:t>demonstrated good biocompatibility in both</w:t>
            </w:r>
            <w:r w:rsidR="00BA39E3">
              <w:rPr>
                <w:rFonts w:ascii="Arial" w:hAnsi="Arial"/>
              </w:rPr>
              <w:t xml:space="preserve"> </w:t>
            </w:r>
            <w:r w:rsidR="00BA39E3">
              <w:rPr>
                <w:rFonts w:ascii="Arial" w:hAnsi="Arial"/>
                <w:i/>
                <w:iCs/>
              </w:rPr>
              <w:t xml:space="preserve">in vitro </w:t>
            </w:r>
            <w:r w:rsidR="00BA39E3">
              <w:rPr>
                <w:rFonts w:ascii="Arial" w:hAnsi="Arial"/>
              </w:rPr>
              <w:t xml:space="preserve">and </w:t>
            </w:r>
            <w:r w:rsidR="00BA39E3">
              <w:rPr>
                <w:rFonts w:ascii="Arial" w:hAnsi="Arial"/>
                <w:i/>
                <w:iCs/>
              </w:rPr>
              <w:t>in vivo</w:t>
            </w:r>
            <w:r w:rsidR="005016C7">
              <w:rPr>
                <w:rFonts w:ascii="Arial" w:hAnsi="Arial"/>
                <w:i/>
                <w:iCs/>
              </w:rPr>
              <w:t xml:space="preserve"> </w:t>
            </w:r>
            <w:r w:rsidR="005016C7">
              <w:rPr>
                <w:rFonts w:ascii="Arial" w:hAnsi="Arial"/>
              </w:rPr>
              <w:t xml:space="preserve">(whole organism) experiments. Coumarin-6 encapsulated PDGAHex NPs were used to track uptake </w:t>
            </w:r>
            <w:r w:rsidR="005016C7">
              <w:rPr>
                <w:rFonts w:ascii="Arial" w:hAnsi="Arial"/>
                <w:i/>
                <w:iCs/>
              </w:rPr>
              <w:t>in vivo</w:t>
            </w:r>
            <w:r w:rsidR="005016C7">
              <w:rPr>
                <w:rFonts w:ascii="Arial" w:hAnsi="Arial"/>
              </w:rPr>
              <w:t xml:space="preserve"> in nematodes, showing successful coloured NPs delivering across the </w:t>
            </w:r>
            <w:r w:rsidR="005016C7">
              <w:rPr>
                <w:rFonts w:ascii="Arial" w:hAnsi="Arial"/>
                <w:i/>
                <w:iCs/>
              </w:rPr>
              <w:t>C. elegans</w:t>
            </w:r>
            <w:r w:rsidR="005016C7">
              <w:rPr>
                <w:rFonts w:ascii="Arial" w:hAnsi="Arial"/>
              </w:rPr>
              <w:t xml:space="preserve"> intestinal membrane. (</w:t>
            </w:r>
            <w:r w:rsidR="005016C7" w:rsidRPr="005016C7">
              <w:rPr>
                <w:rFonts w:ascii="Arial" w:hAnsi="Arial"/>
              </w:rPr>
              <w:t>P. L. Jacob</w:t>
            </w:r>
            <w:r w:rsidR="005016C7">
              <w:rPr>
                <w:rFonts w:ascii="Arial" w:hAnsi="Arial"/>
              </w:rPr>
              <w:t xml:space="preserve"> </w:t>
            </w:r>
            <w:r w:rsidR="005016C7" w:rsidRPr="005016C7">
              <w:rPr>
                <w:rFonts w:ascii="Arial" w:hAnsi="Arial"/>
                <w:i/>
                <w:iCs/>
              </w:rPr>
              <w:t>et al,</w:t>
            </w:r>
            <w:r w:rsidR="005016C7" w:rsidRPr="005016C7">
              <w:rPr>
                <w:rFonts w:ascii="Arial" w:hAnsi="Arial"/>
              </w:rPr>
              <w:t>, J. Colloid Inter</w:t>
            </w:r>
            <w:r w:rsidR="00264691">
              <w:rPr>
                <w:rFonts w:ascii="Arial" w:hAnsi="Arial"/>
              </w:rPr>
              <w:t>f</w:t>
            </w:r>
            <w:r w:rsidR="005016C7" w:rsidRPr="005016C7">
              <w:rPr>
                <w:rFonts w:ascii="Arial" w:hAnsi="Arial"/>
              </w:rPr>
              <w:t xml:space="preserve">ace Sci., 2023, </w:t>
            </w:r>
            <w:r w:rsidR="005016C7" w:rsidRPr="005016C7">
              <w:rPr>
                <w:rFonts w:ascii="Arial" w:hAnsi="Arial"/>
                <w:b/>
                <w:bCs/>
              </w:rPr>
              <w:t>641</w:t>
            </w:r>
            <w:r w:rsidR="005016C7" w:rsidRPr="005016C7">
              <w:rPr>
                <w:rFonts w:ascii="Arial" w:hAnsi="Arial"/>
              </w:rPr>
              <w:t>, 1043–1057</w:t>
            </w:r>
            <w:r w:rsidR="005016C7">
              <w:rPr>
                <w:rFonts w:ascii="Arial" w:hAnsi="Arial"/>
              </w:rPr>
              <w:t>)</w:t>
            </w:r>
          </w:p>
        </w:tc>
      </w:tr>
      <w:tr w:rsidR="00467207" w:rsidRPr="005A09F5" w14:paraId="2083C688" w14:textId="77777777" w:rsidTr="00032119">
        <w:tc>
          <w:tcPr>
            <w:tcW w:w="9576" w:type="dxa"/>
          </w:tcPr>
          <w:p w14:paraId="2B777301" w14:textId="24FCCADA" w:rsidR="00467207" w:rsidRPr="00C8192D" w:rsidRDefault="00467207" w:rsidP="004E5B3B">
            <w:pPr>
              <w:spacing w:line="240" w:lineRule="auto"/>
              <w:jc w:val="both"/>
              <w:rPr>
                <w:rFonts w:ascii="Arial" w:hAnsi="Arial"/>
              </w:rPr>
            </w:pPr>
            <w:r w:rsidRPr="00C8192D">
              <w:rPr>
                <w:rFonts w:ascii="Arial" w:hAnsi="Arial"/>
                <w:b/>
              </w:rPr>
              <w:t>Conclusions:</w:t>
            </w:r>
            <w:r w:rsidR="00F710AD">
              <w:rPr>
                <w:rFonts w:ascii="Arial" w:hAnsi="Arial"/>
              </w:rPr>
              <w:t xml:space="preserve"> </w:t>
            </w:r>
            <w:r w:rsidR="005016C7">
              <w:rPr>
                <w:rFonts w:ascii="Arial" w:hAnsi="Arial"/>
              </w:rPr>
              <w:t xml:space="preserve">Enzymatic polycondensation has been exploited as a more sustainable, one-pot tool to produce new functional polyesters. In-depth physico-chemical and biological screenings have been adopted to study the behavior of the materials. Of the newly synthesised polymers, the hexanediol modifications demonstrated excellent stability and an improved ability to encapsulate hydrophobic compounds. </w:t>
            </w:r>
            <w:r w:rsidR="005016C7" w:rsidRPr="005016C7">
              <w:rPr>
                <w:rFonts w:ascii="Arial" w:hAnsi="Arial"/>
              </w:rPr>
              <w:t xml:space="preserve">This </w:t>
            </w:r>
            <w:r w:rsidR="00753E4F">
              <w:rPr>
                <w:rFonts w:ascii="Arial" w:hAnsi="Arial"/>
              </w:rPr>
              <w:t>has been</w:t>
            </w:r>
            <w:r w:rsidR="005016C7" w:rsidRPr="005016C7">
              <w:rPr>
                <w:rFonts w:ascii="Arial" w:hAnsi="Arial"/>
              </w:rPr>
              <w:t xml:space="preserve"> rationalised by an improvement in the amphiphilic balance between the hexanediol-adipic hydrophobic portion within the polymer backbone as well as the additional</w:t>
            </w:r>
            <w:r w:rsidR="00753E4F">
              <w:rPr>
                <w:rFonts w:ascii="Arial" w:hAnsi="Arial"/>
              </w:rPr>
              <w:t>, stabilising</w:t>
            </w:r>
            <w:r w:rsidR="005016C7" w:rsidRPr="005016C7">
              <w:rPr>
                <w:rFonts w:ascii="Arial" w:hAnsi="Arial"/>
              </w:rPr>
              <w:t xml:space="preserve"> hydroxyl functionalities provided by the diglycerol moiety.</w:t>
            </w:r>
            <w:r w:rsidR="005016C7">
              <w:t xml:space="preserve"> </w:t>
            </w:r>
            <w:r w:rsidR="005016C7" w:rsidRPr="005016C7">
              <w:rPr>
                <w:rFonts w:ascii="Arial" w:hAnsi="Arial"/>
              </w:rPr>
              <w:t xml:space="preserve">The discovered synergistic relationship between the hydrophilic and hydrophobic </w:t>
            </w:r>
            <w:r w:rsidR="00753E4F">
              <w:rPr>
                <w:rFonts w:ascii="Arial" w:hAnsi="Arial"/>
              </w:rPr>
              <w:t xml:space="preserve">backbone </w:t>
            </w:r>
            <w:r w:rsidR="005016C7" w:rsidRPr="005016C7">
              <w:rPr>
                <w:rFonts w:ascii="Arial" w:hAnsi="Arial"/>
              </w:rPr>
              <w:t>segments renders this novel material highly suited to pharmaceutical and biomedical applications.</w:t>
            </w:r>
          </w:p>
        </w:tc>
      </w:tr>
    </w:tbl>
    <w:p w14:paraId="6AAF9FAF" w14:textId="1E8C41FD" w:rsidR="00AB0613" w:rsidRPr="00374966" w:rsidRDefault="005A509B" w:rsidP="000E57C6">
      <w:pPr>
        <w:spacing w:line="240" w:lineRule="auto"/>
        <w:rPr>
          <w:rFonts w:ascii="Arial" w:hAnsi="Arial" w:cs="Arial"/>
          <w:color w:val="FF0000"/>
        </w:rPr>
      </w:pPr>
      <w:r>
        <w:rPr>
          <w:rFonts w:ascii="Arial" w:hAnsi="Arial" w:cs="Arial"/>
          <w:color w:val="FF0000"/>
        </w:rPr>
        <w:lastRenderedPageBreak/>
        <w:t>-</w:t>
      </w: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06F69"/>
    <w:rsid w:val="00054457"/>
    <w:rsid w:val="000627A6"/>
    <w:rsid w:val="000E57C6"/>
    <w:rsid w:val="00171AE7"/>
    <w:rsid w:val="00174437"/>
    <w:rsid w:val="00187A37"/>
    <w:rsid w:val="001939AF"/>
    <w:rsid w:val="001958BA"/>
    <w:rsid w:val="00197EC0"/>
    <w:rsid w:val="001A6B42"/>
    <w:rsid w:val="001C61CA"/>
    <w:rsid w:val="002569B1"/>
    <w:rsid w:val="00264691"/>
    <w:rsid w:val="002A6B96"/>
    <w:rsid w:val="002C4540"/>
    <w:rsid w:val="00374966"/>
    <w:rsid w:val="00381602"/>
    <w:rsid w:val="003A7B6A"/>
    <w:rsid w:val="003D0A78"/>
    <w:rsid w:val="003E6DEF"/>
    <w:rsid w:val="00460ABA"/>
    <w:rsid w:val="00467207"/>
    <w:rsid w:val="004951BE"/>
    <w:rsid w:val="004B18C6"/>
    <w:rsid w:val="004D7D60"/>
    <w:rsid w:val="004E5B3B"/>
    <w:rsid w:val="005016C7"/>
    <w:rsid w:val="005162DB"/>
    <w:rsid w:val="005301C0"/>
    <w:rsid w:val="005556FD"/>
    <w:rsid w:val="005A509B"/>
    <w:rsid w:val="005C3469"/>
    <w:rsid w:val="005D3446"/>
    <w:rsid w:val="006403E7"/>
    <w:rsid w:val="00686768"/>
    <w:rsid w:val="006D540D"/>
    <w:rsid w:val="00717CE7"/>
    <w:rsid w:val="0073272B"/>
    <w:rsid w:val="00736B9C"/>
    <w:rsid w:val="00753E4F"/>
    <w:rsid w:val="00770BAE"/>
    <w:rsid w:val="00791851"/>
    <w:rsid w:val="00801C54"/>
    <w:rsid w:val="008912D0"/>
    <w:rsid w:val="008B4FF5"/>
    <w:rsid w:val="008C715D"/>
    <w:rsid w:val="00972FB0"/>
    <w:rsid w:val="009B7EC2"/>
    <w:rsid w:val="00A34DB9"/>
    <w:rsid w:val="00AB0613"/>
    <w:rsid w:val="00AB261D"/>
    <w:rsid w:val="00AC1A57"/>
    <w:rsid w:val="00AE77F8"/>
    <w:rsid w:val="00B053D3"/>
    <w:rsid w:val="00B223BC"/>
    <w:rsid w:val="00B852B0"/>
    <w:rsid w:val="00BA1BF0"/>
    <w:rsid w:val="00BA39E3"/>
    <w:rsid w:val="00C8087A"/>
    <w:rsid w:val="00D16D0D"/>
    <w:rsid w:val="00D2501D"/>
    <w:rsid w:val="00D72B3E"/>
    <w:rsid w:val="00D96D21"/>
    <w:rsid w:val="00E20280"/>
    <w:rsid w:val="00E84BD7"/>
    <w:rsid w:val="00E94B41"/>
    <w:rsid w:val="00EA519D"/>
    <w:rsid w:val="00EE19A7"/>
    <w:rsid w:val="00EF49C5"/>
    <w:rsid w:val="00F44271"/>
    <w:rsid w:val="00F710AD"/>
    <w:rsid w:val="00FC2777"/>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Sion Coulman</cp:lastModifiedBy>
  <cp:revision>4</cp:revision>
  <dcterms:created xsi:type="dcterms:W3CDTF">2023-04-21T14:42:00Z</dcterms:created>
  <dcterms:modified xsi:type="dcterms:W3CDTF">2023-05-05T14:10:00Z</dcterms:modified>
</cp:coreProperties>
</file>